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tLeast"/>
        <w:ind w:right="2" w:rightChars="1"/>
        <w:jc w:val="center"/>
        <w:rPr>
          <w:rFonts w:hint="eastAsia" w:ascii="宋体" w:hAnsi="宋体" w:cs="宋体"/>
          <w:b/>
          <w:bCs/>
          <w:sz w:val="44"/>
          <w:szCs w:val="44"/>
          <w:highlight w:val="none"/>
        </w:rPr>
      </w:pPr>
    </w:p>
    <w:p>
      <w:pPr>
        <w:snapToGrid w:val="0"/>
        <w:spacing w:line="240" w:lineRule="atLeast"/>
        <w:ind w:right="2" w:rightChars="1"/>
        <w:jc w:val="center"/>
        <w:rPr>
          <w:rFonts w:hint="eastAsia" w:ascii="宋体" w:hAnsi="宋体" w:cs="宋体"/>
          <w:b/>
          <w:bCs/>
          <w:sz w:val="44"/>
          <w:szCs w:val="44"/>
          <w:highlight w:val="none"/>
        </w:rPr>
      </w:pPr>
    </w:p>
    <w:p>
      <w:pPr>
        <w:snapToGrid w:val="0"/>
        <w:spacing w:line="240" w:lineRule="atLeast"/>
        <w:ind w:right="2" w:rightChars="1"/>
        <w:jc w:val="center"/>
        <w:rPr>
          <w:rFonts w:hint="eastAsia" w:ascii="宋体" w:hAnsi="宋体" w:cs="宋体"/>
          <w:b/>
          <w:bCs/>
          <w:sz w:val="44"/>
          <w:szCs w:val="44"/>
          <w:highlight w:val="none"/>
        </w:rPr>
      </w:pPr>
      <w:bookmarkStart w:id="0" w:name="_GoBack"/>
      <w:bookmarkEnd w:id="0"/>
    </w:p>
    <w:p>
      <w:pPr>
        <w:snapToGrid w:val="0"/>
        <w:spacing w:line="240" w:lineRule="atLeast"/>
        <w:ind w:right="2" w:rightChars="1"/>
        <w:jc w:val="center"/>
        <w:rPr>
          <w:rFonts w:hint="eastAsia" w:ascii="宋体" w:hAnsi="宋体"/>
          <w:sz w:val="44"/>
          <w:szCs w:val="44"/>
          <w:highlight w:val="none"/>
        </w:rPr>
      </w:pPr>
      <w:r>
        <w:rPr>
          <w:rFonts w:hint="eastAsia" w:ascii="宋体" w:hAnsi="宋体" w:cs="宋体"/>
          <w:b/>
          <w:bCs/>
          <w:sz w:val="44"/>
          <w:szCs w:val="44"/>
          <w:highlight w:val="none"/>
        </w:rPr>
        <w:t>酒泉钢铁（集团）宏兴股份公司</w:t>
      </w:r>
    </w:p>
    <w:p>
      <w:pPr>
        <w:snapToGrid w:val="0"/>
        <w:spacing w:line="240" w:lineRule="atLeast"/>
        <w:ind w:right="2" w:rightChars="1"/>
        <w:jc w:val="center"/>
        <w:rPr>
          <w:rFonts w:hint="eastAsia" w:ascii="宋体" w:hAnsi="宋体"/>
          <w:sz w:val="44"/>
          <w:szCs w:val="44"/>
          <w:highlight w:val="none"/>
        </w:rPr>
      </w:pPr>
      <w:r>
        <w:rPr>
          <w:rFonts w:hint="eastAsia" w:ascii="宋体" w:hAnsi="宋体"/>
          <w:sz w:val="44"/>
          <w:szCs w:val="44"/>
          <w:highlight w:val="none"/>
        </w:rPr>
        <w:t>（</w:t>
      </w:r>
      <w:r>
        <w:rPr>
          <w:rFonts w:hint="eastAsia" w:hAnsi="宋体" w:eastAsia="宋体"/>
          <w:sz w:val="44"/>
          <w:szCs w:val="44"/>
          <w:highlight w:val="none"/>
          <w:lang w:eastAsia="zh-CN"/>
        </w:rPr>
        <w:t>脉冲布袋除尘器</w:t>
      </w:r>
      <w:r>
        <w:rPr>
          <w:rFonts w:hint="eastAsia" w:hAnsi="宋体" w:eastAsia="宋体"/>
          <w:sz w:val="40"/>
          <w:szCs w:val="40"/>
          <w:highlight w:val="none"/>
          <w:lang w:eastAsia="zh-CN"/>
        </w:rPr>
        <w:t>）</w:t>
      </w:r>
    </w:p>
    <w:p>
      <w:pPr>
        <w:snapToGrid w:val="0"/>
        <w:spacing w:line="240" w:lineRule="atLeast"/>
        <w:ind w:right="2" w:rightChars="1"/>
        <w:jc w:val="center"/>
        <w:rPr>
          <w:rFonts w:hint="eastAsia" w:ascii="宋体" w:hAnsi="宋体" w:eastAsia="宋体"/>
          <w:sz w:val="44"/>
          <w:szCs w:val="44"/>
          <w:highlight w:val="none"/>
          <w:lang w:eastAsia="zh-CN"/>
        </w:rPr>
      </w:pPr>
      <w:r>
        <w:rPr>
          <w:rFonts w:hint="eastAsia" w:ascii="宋体" w:hAnsi="宋体"/>
          <w:sz w:val="44"/>
          <w:szCs w:val="44"/>
          <w:highlight w:val="none"/>
        </w:rPr>
        <w:t>技术</w:t>
      </w:r>
      <w:r>
        <w:rPr>
          <w:rFonts w:hint="eastAsia" w:hAnsi="宋体" w:eastAsia="宋体"/>
          <w:sz w:val="44"/>
          <w:szCs w:val="44"/>
          <w:highlight w:val="none"/>
          <w:lang w:eastAsia="zh-CN"/>
        </w:rPr>
        <w:t>规格书</w:t>
      </w: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rPr>
          <w:rFonts w:hint="eastAsia" w:ascii="宋体" w:hAnsi="宋体"/>
          <w:b/>
          <w:bCs/>
          <w:sz w:val="32"/>
          <w:highlight w:val="none"/>
        </w:rPr>
      </w:pPr>
    </w:p>
    <w:p>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甲  方：酒泉钢铁（集团）宏兴股份公司动力厂</w:t>
      </w:r>
    </w:p>
    <w:p>
      <w:pPr>
        <w:pStyle w:val="3"/>
        <w:wordWrap/>
        <w:autoSpaceDE/>
        <w:autoSpaceDN/>
        <w:spacing w:before="0" w:after="0" w:line="360" w:lineRule="auto"/>
        <w:ind w:left="0" w:firstLine="1124" w:firstLineChars="400"/>
        <w:rPr>
          <w:rFonts w:hint="eastAsia" w:ascii="仿宋_GB2312" w:hAnsi="宋体" w:eastAsia="仿宋_GB2312"/>
          <w:b/>
          <w:bCs/>
          <w:caps w:val="0"/>
          <w:smallCaps w:val="0"/>
          <w:vanish w:val="0"/>
          <w:kern w:val="0"/>
          <w:sz w:val="28"/>
          <w:szCs w:val="28"/>
          <w:highlight w:val="none"/>
          <w:lang w:val="en-US" w:eastAsia="zh-CN" w:bidi="ar-SA"/>
        </w:rPr>
      </w:pPr>
      <w:r>
        <w:rPr>
          <w:rFonts w:hint="eastAsia" w:ascii="仿宋_GB2312" w:hAnsi="宋体" w:eastAsia="仿宋_GB2312"/>
          <w:b/>
          <w:bCs/>
          <w:caps w:val="0"/>
          <w:smallCaps w:val="0"/>
          <w:vanish w:val="0"/>
          <w:kern w:val="0"/>
          <w:sz w:val="28"/>
          <w:szCs w:val="28"/>
          <w:highlight w:val="none"/>
          <w:lang w:val="en-US" w:eastAsia="zh-CN" w:bidi="ar-SA"/>
        </w:rPr>
        <w:t>乙  方：</w:t>
      </w:r>
    </w:p>
    <w:p>
      <w:pPr>
        <w:pStyle w:val="3"/>
        <w:wordWrap/>
        <w:autoSpaceDE/>
        <w:autoSpaceDN/>
        <w:spacing w:before="0" w:after="0" w:line="360" w:lineRule="auto"/>
        <w:ind w:left="0" w:firstLine="0"/>
        <w:rPr>
          <w:rFonts w:hint="eastAsia" w:ascii="仿宋_GB2312" w:hAnsi="宋体" w:eastAsia="仿宋_GB2312"/>
          <w:caps w:val="0"/>
          <w:smallCaps w:val="0"/>
          <w:vanish w:val="0"/>
          <w:kern w:val="0"/>
          <w:sz w:val="28"/>
          <w:szCs w:val="28"/>
          <w:highlight w:val="none"/>
          <w:lang w:val="en-US" w:eastAsia="zh-CN" w:bidi="ar-SA"/>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rPr>
          <w:highlight w:val="none"/>
        </w:rPr>
      </w:pPr>
    </w:p>
    <w:p>
      <w:pPr>
        <w:spacing w:line="460" w:lineRule="exact"/>
        <w:jc w:val="center"/>
        <w:rPr>
          <w:rFonts w:hint="eastAsia" w:eastAsia="宋体"/>
          <w:b/>
          <w:sz w:val="36"/>
          <w:highlight w:val="none"/>
          <w:lang w:val="en-US" w:eastAsia="zh-CN"/>
        </w:rPr>
      </w:pPr>
      <w:r>
        <w:rPr>
          <w:rFonts w:hint="eastAsia" w:eastAsia="宋体"/>
          <w:b/>
          <w:sz w:val="36"/>
          <w:highlight w:val="none"/>
          <w:lang w:val="en-US" w:eastAsia="zh-CN"/>
        </w:rPr>
        <w:t xml:space="preserve"> </w:t>
      </w:r>
    </w:p>
    <w:p>
      <w:pPr>
        <w:spacing w:line="460" w:lineRule="exact"/>
        <w:jc w:val="center"/>
        <w:rPr>
          <w:rFonts w:hint="eastAsia" w:eastAsia="宋体"/>
          <w:b/>
          <w:sz w:val="36"/>
          <w:highlight w:val="none"/>
          <w:lang w:val="en-US" w:eastAsia="zh-CN"/>
        </w:rPr>
      </w:pPr>
    </w:p>
    <w:p>
      <w:pPr>
        <w:spacing w:line="460" w:lineRule="exact"/>
        <w:jc w:val="center"/>
        <w:rPr>
          <w:rFonts w:hint="eastAsia" w:eastAsia="宋体"/>
          <w:b/>
          <w:sz w:val="36"/>
          <w:highlight w:val="none"/>
          <w:lang w:val="en-US" w:eastAsia="zh-CN"/>
        </w:rPr>
      </w:pPr>
    </w:p>
    <w:p>
      <w:pPr>
        <w:spacing w:line="460" w:lineRule="exact"/>
        <w:jc w:val="center"/>
        <w:rPr>
          <w:rFonts w:hint="eastAsia" w:eastAsia="宋体"/>
          <w:b/>
          <w:sz w:val="36"/>
          <w:highlight w:val="none"/>
          <w:lang w:val="en-US" w:eastAsia="zh-CN"/>
        </w:rPr>
      </w:pPr>
    </w:p>
    <w:p>
      <w:pPr>
        <w:spacing w:line="460" w:lineRule="exact"/>
        <w:jc w:val="center"/>
        <w:rPr>
          <w:rFonts w:hint="eastAsia" w:eastAsia="宋体"/>
          <w:b/>
          <w:sz w:val="36"/>
          <w:highlight w:val="none"/>
          <w:lang w:val="en-US" w:eastAsia="zh-CN"/>
        </w:rPr>
      </w:pPr>
    </w:p>
    <w:p>
      <w:pPr>
        <w:spacing w:line="460" w:lineRule="exact"/>
        <w:jc w:val="center"/>
        <w:rPr>
          <w:rFonts w:eastAsia="宋体"/>
          <w:b/>
          <w:sz w:val="36"/>
          <w:highlight w:val="none"/>
        </w:rPr>
      </w:pPr>
      <w:r>
        <w:rPr>
          <w:rFonts w:hint="eastAsia" w:eastAsia="宋体"/>
          <w:b/>
          <w:sz w:val="36"/>
          <w:highlight w:val="none"/>
        </w:rPr>
        <w:t>目</w:t>
      </w:r>
      <w:r>
        <w:rPr>
          <w:rFonts w:hint="eastAsia" w:eastAsia="宋体"/>
          <w:b/>
          <w:sz w:val="36"/>
          <w:highlight w:val="none"/>
          <w:lang w:val="en-US" w:eastAsia="zh-CN"/>
        </w:rPr>
        <w:t xml:space="preserve">  </w:t>
      </w:r>
      <w:r>
        <w:rPr>
          <w:rFonts w:hint="eastAsia" w:eastAsia="宋体"/>
          <w:b/>
          <w:sz w:val="36"/>
          <w:highlight w:val="none"/>
        </w:rPr>
        <w:t>录</w:t>
      </w:r>
    </w:p>
    <w:p>
      <w:pPr>
        <w:spacing w:line="460" w:lineRule="exact"/>
        <w:ind w:firstLine="3791"/>
        <w:rPr>
          <w:rFonts w:hint="eastAsia" w:ascii="仿宋_GB2312" w:hAnsi="仿宋_GB2312" w:eastAsia="仿宋_GB2312" w:cs="仿宋_GB2312"/>
          <w:b/>
          <w:sz w:val="30"/>
          <w:szCs w:val="30"/>
          <w:highlight w:val="none"/>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GB" w:eastAsia="zh-CN"/>
        </w:rPr>
      </w:pPr>
      <w:r>
        <w:rPr>
          <w:rFonts w:hint="eastAsia" w:ascii="仿宋_GB2312" w:hAnsi="仿宋_GB2312" w:eastAsia="仿宋_GB2312" w:cs="仿宋_GB2312"/>
          <w:b w:val="0"/>
          <w:bCs w:val="0"/>
          <w:kern w:val="2"/>
          <w:sz w:val="32"/>
          <w:szCs w:val="32"/>
          <w:lang w:val="en-US" w:eastAsia="zh-CN"/>
        </w:rPr>
        <w:t>一、总则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GB" w:eastAsia="zh-CN"/>
        </w:rPr>
      </w:pPr>
      <w:r>
        <w:rPr>
          <w:rFonts w:hint="eastAsia" w:ascii="仿宋_GB2312" w:hAnsi="仿宋_GB2312" w:eastAsia="仿宋_GB2312" w:cs="仿宋_GB2312"/>
          <w:b w:val="0"/>
          <w:bCs w:val="0"/>
          <w:kern w:val="2"/>
          <w:sz w:val="32"/>
          <w:szCs w:val="32"/>
          <w:lang w:val="en-GB" w:eastAsia="zh-CN"/>
        </w:rPr>
        <w:t>二、供货范围及设备参数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三、制造技术要求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四、</w:t>
      </w:r>
      <w:r>
        <w:rPr>
          <w:rFonts w:hint="eastAsia" w:ascii="仿宋_GB2312" w:hAnsi="仿宋_GB2312" w:eastAsia="仿宋_GB2312" w:cs="仿宋_GB2312"/>
          <w:b w:val="0"/>
          <w:bCs w:val="0"/>
          <w:kern w:val="2"/>
          <w:sz w:val="32"/>
          <w:szCs w:val="32"/>
          <w:lang w:val="en-GB" w:eastAsia="zh-CN"/>
        </w:rPr>
        <w:t>验收及技术服务：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五、提供资料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六、交货时间及地点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七、其他</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lang w:val="en-US" w:eastAsia="zh-CN"/>
        </w:rPr>
      </w:pPr>
    </w:p>
    <w:p>
      <w:pPr>
        <w:pStyle w:val="4"/>
        <w:rPr>
          <w:rFonts w:hint="eastAsia"/>
          <w:highlight w:val="none"/>
          <w:lang w:val="en-US" w:eastAsia="zh-CN"/>
        </w:rPr>
      </w:pPr>
    </w:p>
    <w:p>
      <w:pPr>
        <w:pStyle w:val="4"/>
        <w:rPr>
          <w:rFonts w:hint="eastAsia"/>
          <w:highlight w:val="none"/>
          <w:lang w:val="en-US" w:eastAsia="zh-CN"/>
        </w:rPr>
      </w:pPr>
    </w:p>
    <w:p>
      <w:pPr>
        <w:pStyle w:val="4"/>
        <w:rPr>
          <w:rFonts w:hint="eastAsia"/>
          <w:highlight w:val="none"/>
          <w:lang w:val="en-US" w:eastAsia="zh-CN"/>
        </w:rPr>
      </w:pPr>
    </w:p>
    <w:p>
      <w:pPr>
        <w:pStyle w:val="4"/>
        <w:rPr>
          <w:rFonts w:hint="eastAsia"/>
          <w:highlight w:val="none"/>
          <w:lang w:val="en-US" w:eastAsia="zh-CN"/>
        </w:rPr>
      </w:pPr>
    </w:p>
    <w:p>
      <w:pPr>
        <w:pStyle w:val="4"/>
        <w:rPr>
          <w:rFonts w:hint="eastAsia"/>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b w:val="0"/>
          <w:bCs w:val="0"/>
          <w:kern w:val="2"/>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甘肃酒钢集团宏兴钢铁股份有限公司动力厂</w:t>
      </w:r>
      <w:r>
        <w:rPr>
          <w:rFonts w:hint="eastAsia" w:ascii="仿宋_GB2312" w:hAnsi="仿宋_GB2312" w:eastAsia="仿宋_GB2312" w:cs="仿宋_GB2312"/>
          <w:b w:val="0"/>
          <w:bCs w:val="0"/>
          <w:kern w:val="2"/>
          <w:sz w:val="32"/>
          <w:szCs w:val="32"/>
          <w:highlight w:val="none"/>
          <w:lang w:val="en-GB" w:eastAsia="zh-CN"/>
        </w:rPr>
        <w:t>（以下称甲方）与</w:t>
      </w:r>
      <w:r>
        <w:rPr>
          <w:rFonts w:hint="eastAsia" w:ascii="仿宋_GB2312" w:hAnsi="仿宋_GB2312" w:eastAsia="仿宋_GB2312" w:cs="仿宋_GB2312"/>
          <w:b w:val="0"/>
          <w:bCs w:val="0"/>
          <w:kern w:val="2"/>
          <w:sz w:val="32"/>
          <w:szCs w:val="32"/>
          <w:highlight w:val="none"/>
          <w:u w:val="single"/>
          <w:lang w:val="en-US" w:eastAsia="zh-CN"/>
        </w:rPr>
        <w:t xml:space="preserve">                      </w:t>
      </w:r>
      <w:r>
        <w:rPr>
          <w:rFonts w:hint="eastAsia" w:ascii="仿宋_GB2312" w:hAnsi="仿宋_GB2312" w:eastAsia="仿宋_GB2312" w:cs="仿宋_GB2312"/>
          <w:b w:val="0"/>
          <w:bCs w:val="0"/>
          <w:kern w:val="2"/>
          <w:sz w:val="32"/>
          <w:szCs w:val="32"/>
          <w:highlight w:val="none"/>
          <w:lang w:val="en-GB" w:eastAsia="zh-CN"/>
        </w:rPr>
        <w:t>（以下称乙方）就甲方脉冲布袋除尘器\2600m3/h 99.9%过滤面积：≥18m2采购经双方协商，达成如下技术协议：</w:t>
      </w:r>
    </w:p>
    <w:p>
      <w:pPr>
        <w:pStyle w:val="4"/>
        <w:ind w:left="0" w:leftChars="0" w:firstLine="0" w:firstLineChars="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b/>
          <w:bCs/>
          <w:sz w:val="30"/>
          <w:szCs w:val="30"/>
          <w:highlight w:val="none"/>
          <w:lang w:val="en-US" w:eastAsia="zh-CN"/>
        </w:rPr>
        <w:t>一、总则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本技术协议作为甲方设备订货合同的附件，与订货合同同时生效，具有同等法律效力。合同执行期间双方再协商形成的补充协议和追加条款也具有同等法律效力。它提出设备的功能设计、结构、性能、安装和试验等方面的技术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2.本技术协议提出的是最低限度的技术要求，并未对一切技术要求作出详细规定，也未充分引述有关标准及规范的条文。乙方应保证提供符合本规范书和相关的国际、国内工业标准的高质量产品及其相应服务，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3.乙方提供的设备应是成熟可靠、技术先进的产品，在钢铁行业机组有2家及以上运行超过3年，已证明安全可靠的优质产品。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4.对于国家明令禁止使用的和已淘汰的产品和设备，一律不准在本工程中使用。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5.若乙方所提供的投标文件前后有不一致的地方，应以更有利于设备安装运行、工程质量为原则，由甲方确定。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6.乙方应按技术规范书中顺序逐条应答，如对本技术规范书有偏差（无论多少）都必须清楚地标示在本技术规范书中的 “差异表”中。否则将认为乙方提供的设备完全符合本技术规范书和标准的要求。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7. 本技术协议所引用的标准若与乙方所执行的标准发生矛盾时，按较高的标准执行。乙方在设备设计和制造中所涉及的各项规程、规范和标准必须遵循现行最新标准版本。</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8.乙方对所提供的全套系统设备（含辅助系统与设备）负有全责，即包括分包（或采购）的产品。分包（或采购）的产品乙方提出三个厂家供甲方确认，分包（或采购）的产品制造商应按甲方的要求进行，并按最高价计入总价。</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9.在合同签订后，甲方有权因规范、标准、规程发生变化而提出一些补充要求。在设备投料生产前，乙方应在设计上给予修改，具体项目由供需双方共同商定。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10. 在合同签订15天内，按本技术协议的要求，乙方提出合同设备的设计、制造、检验/试验、装配、安装、调试、试运、验收、试验、运行和维护等标准清单给甲方，供甲方确认。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11.乙方在合同货物制造中，发生侵犯专利的行为时其侵权责任与甲方无关。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12.乙方须对脉冲布袋除尘器设计的完整性、合理性和设计质量承担全部责任。</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highlight w:val="none"/>
          <w:lang w:val="en-GB" w:eastAsia="zh-CN"/>
        </w:rPr>
        <w:t>二、供货范围及设备参数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GB" w:eastAsia="zh-CN"/>
        </w:rPr>
      </w:pPr>
      <w:r>
        <w:rPr>
          <w:rFonts w:hint="eastAsia" w:ascii="仿宋_GB2312" w:hAnsi="仿宋_GB2312" w:eastAsia="仿宋_GB2312" w:cs="仿宋_GB2312"/>
          <w:b w:val="0"/>
          <w:bCs w:val="0"/>
          <w:kern w:val="2"/>
          <w:sz w:val="32"/>
          <w:szCs w:val="32"/>
          <w:highlight w:val="none"/>
          <w:lang w:val="en-US" w:eastAsia="zh-CN"/>
        </w:rPr>
        <w:t>1.供货范围</w:t>
      </w:r>
    </w:p>
    <w:tbl>
      <w:tblPr>
        <w:tblStyle w:val="5"/>
        <w:tblW w:w="8529" w:type="dxa"/>
        <w:tblInd w:w="0" w:type="dxa"/>
        <w:tblLayout w:type="fixed"/>
        <w:tblCellMar>
          <w:top w:w="0" w:type="dxa"/>
          <w:left w:w="108" w:type="dxa"/>
          <w:bottom w:w="0" w:type="dxa"/>
          <w:right w:w="108" w:type="dxa"/>
        </w:tblCellMar>
      </w:tblPr>
      <w:tblGrid>
        <w:gridCol w:w="700"/>
        <w:gridCol w:w="1356"/>
        <w:gridCol w:w="2985"/>
        <w:gridCol w:w="1530"/>
        <w:gridCol w:w="1958"/>
      </w:tblGrid>
      <w:tr>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序号</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物料名称</w:t>
            </w:r>
          </w:p>
        </w:tc>
        <w:tc>
          <w:tcPr>
            <w:tcW w:w="2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规格型号</w:t>
            </w:r>
          </w:p>
        </w:tc>
        <w:tc>
          <w:tcPr>
            <w:tcW w:w="15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物料编码</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数量</w:t>
            </w:r>
          </w:p>
        </w:tc>
      </w:tr>
      <w:tr>
        <w:tblPrEx>
          <w:tblCellMar>
            <w:top w:w="0" w:type="dxa"/>
            <w:left w:w="108" w:type="dxa"/>
            <w:bottom w:w="0" w:type="dxa"/>
            <w:right w:w="108" w:type="dxa"/>
          </w:tblCellMar>
        </w:tblPrEx>
        <w:trPr>
          <w:trHeight w:val="653" w:hRule="atLeast"/>
        </w:trPr>
        <w:tc>
          <w:tcPr>
            <w:tcW w:w="7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kern w:val="2"/>
                <w:sz w:val="24"/>
                <w:szCs w:val="24"/>
                <w:highlight w:val="none"/>
                <w:lang w:val="en-US" w:eastAsia="zh-CN"/>
              </w:rPr>
              <w:t>脉冲布袋除尘器</w:t>
            </w:r>
          </w:p>
        </w:tc>
        <w:tc>
          <w:tcPr>
            <w:tcW w:w="29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2600m3/h 99.9%过滤面积：≥18m2</w:t>
            </w:r>
          </w:p>
        </w:tc>
        <w:tc>
          <w:tcPr>
            <w:tcW w:w="15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70446391</w:t>
            </w:r>
          </w:p>
        </w:tc>
        <w:tc>
          <w:tcPr>
            <w:tcW w:w="19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1套</w:t>
            </w:r>
          </w:p>
        </w:tc>
      </w:tr>
    </w:tbl>
    <w:p>
      <w:pPr>
        <w:pStyle w:val="4"/>
        <w:numPr>
          <w:ilvl w:val="0"/>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2.设备参数</w:t>
      </w:r>
    </w:p>
    <w:tbl>
      <w:tblPr>
        <w:tblStyle w:val="5"/>
        <w:tblW w:w="8522" w:type="dxa"/>
        <w:jc w:val="center"/>
        <w:tblLayout w:type="autofit"/>
        <w:tblCellMar>
          <w:top w:w="0" w:type="dxa"/>
          <w:left w:w="0" w:type="dxa"/>
          <w:bottom w:w="0" w:type="dxa"/>
          <w:right w:w="0" w:type="dxa"/>
        </w:tblCellMar>
      </w:tblPr>
      <w:tblGrid>
        <w:gridCol w:w="1557"/>
        <w:gridCol w:w="2597"/>
        <w:gridCol w:w="4368"/>
      </w:tblGrid>
      <w:tr>
        <w:tblPrEx>
          <w:tblCellMar>
            <w:top w:w="0" w:type="dxa"/>
            <w:left w:w="0" w:type="dxa"/>
            <w:bottom w:w="0" w:type="dxa"/>
            <w:right w:w="0" w:type="dxa"/>
          </w:tblCellMar>
        </w:tblPrEx>
        <w:trPr>
          <w:trHeight w:val="0" w:hRule="atLeast"/>
          <w:tblHeader/>
          <w:jc w:val="center"/>
        </w:trPr>
        <w:tc>
          <w:tcPr>
            <w:tcW w:w="15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方正仿宋_GB2312" w:hAnsi="方正仿宋_GB2312" w:eastAsia="方正仿宋_GB2312" w:cs="方正仿宋_GB2312"/>
                <w:b/>
                <w:bCs w:val="0"/>
                <w:sz w:val="24"/>
                <w:szCs w:val="24"/>
                <w:highlight w:val="none"/>
              </w:rPr>
            </w:pPr>
            <w:r>
              <w:rPr>
                <w:rFonts w:hint="eastAsia" w:ascii="方正仿宋_GB2312" w:hAnsi="方正仿宋_GB2312" w:eastAsia="方正仿宋_GB2312" w:cs="方正仿宋_GB2312"/>
                <w:b/>
                <w:bCs w:val="0"/>
                <w:sz w:val="24"/>
                <w:szCs w:val="24"/>
                <w:highlight w:val="none"/>
              </w:rPr>
              <w:t>项目</w:t>
            </w:r>
          </w:p>
        </w:tc>
        <w:tc>
          <w:tcPr>
            <w:tcW w:w="259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方正仿宋_GB2312" w:hAnsi="方正仿宋_GB2312" w:eastAsia="方正仿宋_GB2312" w:cs="方正仿宋_GB2312"/>
                <w:b/>
                <w:bCs w:val="0"/>
                <w:sz w:val="24"/>
                <w:szCs w:val="24"/>
                <w:highlight w:val="none"/>
                <w:lang w:eastAsia="zh-CN"/>
              </w:rPr>
            </w:pPr>
            <w:r>
              <w:rPr>
                <w:rFonts w:hint="eastAsia" w:ascii="方正仿宋_GB2312" w:hAnsi="方正仿宋_GB2312" w:eastAsia="方正仿宋_GB2312" w:cs="方正仿宋_GB2312"/>
                <w:b/>
                <w:bCs w:val="0"/>
                <w:sz w:val="24"/>
                <w:szCs w:val="24"/>
                <w:highlight w:val="none"/>
                <w:lang w:eastAsia="zh-CN"/>
              </w:rPr>
              <w:t>参数</w:t>
            </w:r>
          </w:p>
        </w:tc>
        <w:tc>
          <w:tcPr>
            <w:tcW w:w="436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center"/>
              <w:textAlignment w:val="auto"/>
              <w:rPr>
                <w:rFonts w:hint="eastAsia" w:ascii="方正仿宋_GB2312" w:hAnsi="方正仿宋_GB2312" w:eastAsia="方正仿宋_GB2312" w:cs="方正仿宋_GB2312"/>
                <w:b/>
                <w:bCs w:val="0"/>
                <w:sz w:val="24"/>
                <w:szCs w:val="24"/>
                <w:highlight w:val="none"/>
                <w:lang w:eastAsia="zh-CN"/>
              </w:rPr>
            </w:pPr>
            <w:r>
              <w:rPr>
                <w:rFonts w:hint="eastAsia" w:ascii="方正仿宋_GB2312" w:hAnsi="方正仿宋_GB2312" w:eastAsia="方正仿宋_GB2312" w:cs="方正仿宋_GB2312"/>
                <w:b/>
                <w:bCs w:val="0"/>
                <w:sz w:val="24"/>
                <w:szCs w:val="24"/>
                <w:highlight w:val="none"/>
                <w:lang w:eastAsia="zh-CN"/>
              </w:rPr>
              <w:t>备注</w:t>
            </w:r>
          </w:p>
        </w:tc>
      </w:tr>
      <w:tr>
        <w:tblPrEx>
          <w:tblCellMar>
            <w:top w:w="0" w:type="dxa"/>
            <w:left w:w="0" w:type="dxa"/>
            <w:bottom w:w="0" w:type="dxa"/>
            <w:right w:w="0" w:type="dxa"/>
          </w:tblCellMar>
        </w:tblPrEx>
        <w:trPr>
          <w:trHeight w:val="0" w:hRule="atLeast"/>
          <w:jc w:val="center"/>
        </w:trPr>
        <w:tc>
          <w:tcPr>
            <w:tcW w:w="15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rPr>
            </w:pPr>
            <w:r>
              <w:rPr>
                <w:rFonts w:hint="eastAsia" w:ascii="方正仿宋_GB2312" w:hAnsi="仿宋_GB2312" w:eastAsia="方正仿宋_GB2312" w:cs="仿宋_GB2312"/>
                <w:b w:val="0"/>
                <w:bCs w:val="0"/>
                <w:kern w:val="2"/>
                <w:sz w:val="24"/>
                <w:szCs w:val="24"/>
                <w:highlight w:val="none"/>
                <w:lang w:val="en-US" w:eastAsia="zh-CN"/>
              </w:rPr>
              <w:t>脉冲布袋除尘器</w:t>
            </w:r>
          </w:p>
        </w:tc>
        <w:tc>
          <w:tcPr>
            <w:tcW w:w="259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rPr>
            </w:pPr>
            <w:r>
              <w:rPr>
                <w:rFonts w:hint="eastAsia" w:ascii="方正仿宋_GB2312" w:hAnsi="方正仿宋_GB2312" w:eastAsia="方正仿宋_GB2312" w:cs="方正仿宋_GB2312"/>
                <w:b w:val="0"/>
                <w:bCs w:val="0"/>
                <w:sz w:val="24"/>
                <w:szCs w:val="24"/>
                <w:highlight w:val="none"/>
                <w:lang w:val="en-US" w:eastAsia="zh-CN"/>
              </w:rPr>
              <w:t>处理风量2200-2600</w:t>
            </w:r>
            <w:r>
              <w:rPr>
                <w:rFonts w:hint="eastAsia" w:ascii="方正仿宋_GB2312" w:hAnsi="方正仿宋_GB2312" w:eastAsia="方正仿宋_GB2312" w:cs="方正仿宋_GB2312"/>
                <w:sz w:val="24"/>
                <w:szCs w:val="24"/>
              </w:rPr>
              <w:t>m³/h</w:t>
            </w:r>
          </w:p>
        </w:tc>
        <w:tc>
          <w:tcPr>
            <w:tcW w:w="436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r>
              <w:rPr>
                <w:rFonts w:hint="eastAsia" w:ascii="方正仿宋_GB2312" w:hAnsi="方正仿宋_GB2312" w:eastAsia="方正仿宋_GB2312" w:cs="方正仿宋_GB2312"/>
                <w:sz w:val="24"/>
                <w:szCs w:val="24"/>
                <w:lang w:eastAsia="zh-CN"/>
              </w:rPr>
              <w:t>在线除尘，</w:t>
            </w:r>
            <w:r>
              <w:rPr>
                <w:rFonts w:hint="eastAsia" w:ascii="方正仿宋_GB2312" w:hAnsi="方正仿宋_GB2312" w:eastAsia="方正仿宋_GB2312" w:cs="方正仿宋_GB2312"/>
                <w:sz w:val="24"/>
                <w:szCs w:val="24"/>
              </w:rPr>
              <w:t>具备自动除尘功能，支持手动应急操作</w:t>
            </w:r>
          </w:p>
        </w:tc>
      </w:tr>
      <w:tr>
        <w:tblPrEx>
          <w:tblCellMar>
            <w:top w:w="0" w:type="dxa"/>
            <w:left w:w="0" w:type="dxa"/>
            <w:bottom w:w="0" w:type="dxa"/>
            <w:right w:w="0" w:type="dxa"/>
          </w:tblCellMar>
        </w:tblPrEx>
        <w:trPr>
          <w:trHeight w:val="0" w:hRule="atLeast"/>
          <w:jc w:val="center"/>
        </w:trPr>
        <w:tc>
          <w:tcPr>
            <w:tcW w:w="15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eastAsia="zh-CN"/>
              </w:rPr>
            </w:pPr>
            <w:r>
              <w:rPr>
                <w:rFonts w:hint="eastAsia" w:ascii="方正仿宋_GB2312" w:hAnsi="方正仿宋_GB2312" w:eastAsia="方正仿宋_GB2312" w:cs="方正仿宋_GB2312"/>
                <w:b w:val="0"/>
                <w:bCs w:val="0"/>
                <w:sz w:val="24"/>
                <w:szCs w:val="24"/>
                <w:highlight w:val="none"/>
                <w:lang w:eastAsia="zh-CN"/>
              </w:rPr>
              <w:t>电机功率</w:t>
            </w:r>
          </w:p>
        </w:tc>
        <w:tc>
          <w:tcPr>
            <w:tcW w:w="259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r>
              <w:rPr>
                <w:rFonts w:hint="eastAsia" w:ascii="方正仿宋_GB2312" w:hAnsi="方正仿宋_GB2312" w:eastAsia="方正仿宋_GB2312" w:cs="方正仿宋_GB2312"/>
                <w:sz w:val="24"/>
                <w:szCs w:val="24"/>
                <w:lang w:val="en-US" w:eastAsia="zh-CN"/>
              </w:rPr>
              <w:t>2.2</w:t>
            </w:r>
            <w:r>
              <w:rPr>
                <w:rFonts w:hint="eastAsia" w:ascii="方正仿宋_GB2312" w:hAnsi="方正仿宋_GB2312" w:eastAsia="方正仿宋_GB2312" w:cs="方正仿宋_GB2312"/>
                <w:b w:val="0"/>
                <w:bCs w:val="0"/>
                <w:sz w:val="24"/>
                <w:szCs w:val="24"/>
                <w:highlight w:val="none"/>
                <w:lang w:val="en-US" w:eastAsia="zh-CN"/>
              </w:rPr>
              <w:t>kW</w:t>
            </w:r>
          </w:p>
        </w:tc>
        <w:tc>
          <w:tcPr>
            <w:tcW w:w="436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r>
              <w:rPr>
                <w:rFonts w:hint="eastAsia" w:ascii="方正仿宋_GB2312" w:hAnsi="方正仿宋_GB2312" w:eastAsia="方正仿宋_GB2312" w:cs="方正仿宋_GB2312"/>
                <w:b w:val="0"/>
                <w:bCs w:val="0"/>
                <w:sz w:val="24"/>
                <w:szCs w:val="24"/>
                <w:highlight w:val="none"/>
                <w:lang w:val="en-US" w:eastAsia="zh-CN"/>
              </w:rPr>
              <w:t>一级能效</w:t>
            </w:r>
          </w:p>
        </w:tc>
      </w:tr>
      <w:tr>
        <w:tblPrEx>
          <w:tblCellMar>
            <w:top w:w="0" w:type="dxa"/>
            <w:left w:w="0" w:type="dxa"/>
            <w:bottom w:w="0" w:type="dxa"/>
            <w:right w:w="0" w:type="dxa"/>
          </w:tblCellMar>
        </w:tblPrEx>
        <w:trPr>
          <w:trHeight w:val="0" w:hRule="atLeast"/>
          <w:jc w:val="center"/>
        </w:trPr>
        <w:tc>
          <w:tcPr>
            <w:tcW w:w="15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eastAsia="zh-CN"/>
              </w:rPr>
            </w:pPr>
            <w:r>
              <w:rPr>
                <w:rFonts w:hint="eastAsia" w:ascii="方正仿宋_GB2312" w:hAnsi="方正仿宋_GB2312" w:eastAsia="方正仿宋_GB2312" w:cs="方正仿宋_GB2312"/>
                <w:b w:val="0"/>
                <w:bCs w:val="0"/>
                <w:sz w:val="24"/>
                <w:szCs w:val="24"/>
                <w:highlight w:val="none"/>
                <w:lang w:eastAsia="zh-CN"/>
              </w:rPr>
              <w:t>除尘效率</w:t>
            </w:r>
          </w:p>
        </w:tc>
        <w:tc>
          <w:tcPr>
            <w:tcW w:w="259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r>
              <w:rPr>
                <w:rFonts w:hint="eastAsia" w:ascii="方正仿宋_GB2312" w:hAnsi="方正仿宋_GB2312" w:eastAsia="方正仿宋_GB2312" w:cs="方正仿宋_GB2312"/>
                <w:b w:val="0"/>
                <w:bCs w:val="0"/>
                <w:sz w:val="24"/>
                <w:szCs w:val="24"/>
                <w:highlight w:val="none"/>
                <w:lang w:val="en-US" w:eastAsia="zh-CN"/>
              </w:rPr>
              <w:t>99.9%</w:t>
            </w:r>
          </w:p>
        </w:tc>
        <w:tc>
          <w:tcPr>
            <w:tcW w:w="436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p>
        </w:tc>
      </w:tr>
      <w:tr>
        <w:tblPrEx>
          <w:tblCellMar>
            <w:top w:w="0" w:type="dxa"/>
            <w:left w:w="0" w:type="dxa"/>
            <w:bottom w:w="0" w:type="dxa"/>
            <w:right w:w="0" w:type="dxa"/>
          </w:tblCellMar>
        </w:tblPrEx>
        <w:trPr>
          <w:trHeight w:val="0" w:hRule="atLeast"/>
          <w:jc w:val="center"/>
        </w:trPr>
        <w:tc>
          <w:tcPr>
            <w:tcW w:w="15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rPr>
            </w:pPr>
            <w:r>
              <w:rPr>
                <w:rFonts w:hint="eastAsia" w:ascii="方正仿宋_GB2312" w:hAnsi="方正仿宋_GB2312" w:eastAsia="方正仿宋_GB2312" w:cs="方正仿宋_GB2312"/>
                <w:sz w:val="24"/>
                <w:szCs w:val="24"/>
              </w:rPr>
              <w:t>漏风率</w:t>
            </w:r>
          </w:p>
        </w:tc>
        <w:tc>
          <w:tcPr>
            <w:tcW w:w="259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r>
              <w:rPr>
                <w:rFonts w:hint="eastAsia" w:ascii="方正仿宋_GB2312" w:hAnsi="方正仿宋_GB2312" w:eastAsia="方正仿宋_GB2312" w:cs="方正仿宋_GB2312"/>
                <w:sz w:val="24"/>
                <w:szCs w:val="24"/>
              </w:rPr>
              <w:t>≤3%（按处理风量计算）</w:t>
            </w:r>
          </w:p>
        </w:tc>
        <w:tc>
          <w:tcPr>
            <w:tcW w:w="436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p>
        </w:tc>
      </w:tr>
      <w:tr>
        <w:tblPrEx>
          <w:tblCellMar>
            <w:top w:w="0" w:type="dxa"/>
            <w:left w:w="0" w:type="dxa"/>
            <w:bottom w:w="0" w:type="dxa"/>
            <w:right w:w="0" w:type="dxa"/>
          </w:tblCellMar>
        </w:tblPrEx>
        <w:trPr>
          <w:trHeight w:val="0" w:hRule="atLeast"/>
          <w:jc w:val="center"/>
        </w:trPr>
        <w:tc>
          <w:tcPr>
            <w:tcW w:w="15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eastAsia="zh-CN"/>
              </w:rPr>
            </w:pPr>
            <w:r>
              <w:rPr>
                <w:rFonts w:hint="eastAsia" w:ascii="方正仿宋_GB2312" w:hAnsi="方正仿宋_GB2312" w:eastAsia="方正仿宋_GB2312" w:cs="方正仿宋_GB2312"/>
                <w:b w:val="0"/>
                <w:bCs w:val="0"/>
                <w:sz w:val="24"/>
                <w:szCs w:val="24"/>
                <w:highlight w:val="none"/>
                <w:lang w:eastAsia="zh-CN"/>
              </w:rPr>
              <w:t>过滤面积</w:t>
            </w:r>
          </w:p>
        </w:tc>
        <w:tc>
          <w:tcPr>
            <w:tcW w:w="259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r>
              <w:rPr>
                <w:rFonts w:hint="eastAsia" w:ascii="方正仿宋_GB2312" w:hAnsi="方正仿宋_GB2312" w:eastAsia="方正仿宋_GB2312" w:cs="方正仿宋_GB2312"/>
                <w:b w:val="0"/>
                <w:bCs w:val="0"/>
                <w:sz w:val="24"/>
                <w:szCs w:val="24"/>
                <w:highlight w:val="none"/>
                <w:lang w:val="en-US" w:eastAsia="zh-CN"/>
              </w:rPr>
              <w:t>18平方米</w:t>
            </w:r>
          </w:p>
        </w:tc>
        <w:tc>
          <w:tcPr>
            <w:tcW w:w="436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ind w:left="0" w:leftChars="0" w:right="0" w:rightChars="0" w:firstLine="0" w:firstLineChars="0"/>
              <w:jc w:val="left"/>
              <w:textAlignment w:val="auto"/>
              <w:rPr>
                <w:rFonts w:hint="eastAsia" w:ascii="方正仿宋_GB2312" w:hAnsi="方正仿宋_GB2312" w:eastAsia="方正仿宋_GB2312" w:cs="方正仿宋_GB2312"/>
                <w:b w:val="0"/>
                <w:bCs w:val="0"/>
                <w:sz w:val="24"/>
                <w:szCs w:val="24"/>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三、制造技术要求</w:t>
      </w:r>
    </w:p>
    <w:p>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1.设备安装位置：动力厂水二作业区</w:t>
      </w:r>
    </w:p>
    <w:p>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2.工作介质或使用工况：石灰粉尘，连续运行</w:t>
      </w:r>
    </w:p>
    <w:p>
      <w:pPr>
        <w:pStyle w:val="4"/>
        <w:ind w:left="0" w:leftChars="0" w:firstLine="640" w:firstLineChars="200"/>
        <w:rPr>
          <w:rFonts w:hint="eastAsia" w:ascii="仿宋_GB2312" w:hAnsi="仿宋_GB2312" w:eastAsia="仿宋_GB2312" w:cs="仿宋_GB2312"/>
          <w:b w:val="0"/>
          <w:bCs w:val="0"/>
          <w:kern w:val="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rPr>
        <w:t>3.材质要求</w:t>
      </w:r>
    </w:p>
    <w:p>
      <w:pPr>
        <w:pStyle w:val="4"/>
        <w:ind w:left="0" w:leftChars="0" w:firstLine="560" w:firstLineChars="200"/>
        <w:rPr>
          <w:rFonts w:hint="eastAsia" w:ascii="仿宋_GB2312" w:hAnsi="仿宋_GB2312" w:eastAsia="仿宋_GB2312" w:cs="仿宋_GB2312"/>
          <w:b w:val="0"/>
          <w:bCs w:val="0"/>
          <w:kern w:val="2"/>
          <w:sz w:val="28"/>
          <w:szCs w:val="28"/>
          <w:highlight w:val="none"/>
          <w:lang w:val="en-US" w:eastAsia="zh-CN"/>
        </w:rPr>
      </w:pPr>
      <w:r>
        <w:rPr>
          <w:rFonts w:hint="eastAsia" w:ascii="仿宋_GB2312" w:hAnsi="仿宋_GB2312" w:eastAsia="仿宋_GB2312" w:cs="仿宋_GB2312"/>
          <w:b w:val="0"/>
          <w:bCs w:val="0"/>
          <w:kern w:val="2"/>
          <w:sz w:val="28"/>
          <w:szCs w:val="28"/>
          <w:highlight w:val="none"/>
          <w:lang w:val="en-US" w:eastAsia="zh-CN"/>
        </w:rPr>
        <w:t>主要零部件材料表：</w:t>
      </w:r>
    </w:p>
    <w:tbl>
      <w:tblPr>
        <w:tblStyle w:val="5"/>
        <w:tblW w:w="0" w:type="auto"/>
        <w:jc w:val="center"/>
        <w:tblLayout w:type="fixed"/>
        <w:tblCellMar>
          <w:top w:w="0" w:type="dxa"/>
          <w:left w:w="108" w:type="dxa"/>
          <w:bottom w:w="0" w:type="dxa"/>
          <w:right w:w="108" w:type="dxa"/>
        </w:tblCellMar>
      </w:tblPr>
      <w:tblGrid>
        <w:gridCol w:w="1812"/>
        <w:gridCol w:w="3345"/>
        <w:gridCol w:w="3147"/>
      </w:tblGrid>
      <w:tr>
        <w:tblPrEx>
          <w:tblCellMar>
            <w:top w:w="0" w:type="dxa"/>
            <w:left w:w="108" w:type="dxa"/>
            <w:bottom w:w="0" w:type="dxa"/>
            <w:right w:w="108" w:type="dxa"/>
          </w:tblCellMar>
        </w:tblPrEx>
        <w:trPr>
          <w:trHeight w:val="45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零件名称</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技术参数</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备注</w:t>
            </w:r>
          </w:p>
        </w:tc>
      </w:tr>
      <w:tr>
        <w:tblPrEx>
          <w:tblCellMar>
            <w:top w:w="0" w:type="dxa"/>
            <w:left w:w="108" w:type="dxa"/>
            <w:bottom w:w="0" w:type="dxa"/>
            <w:right w:w="108" w:type="dxa"/>
          </w:tblCellMar>
        </w:tblPrEx>
        <w:trPr>
          <w:trHeight w:val="109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箱体</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ind w:left="0" w:leftChars="0" w:firstLine="0" w:firstLineChars="0"/>
              <w:jc w:val="both"/>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材质Q235B碳钢，厚度≥5mm</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内部喷涂</w:t>
            </w:r>
            <w:r>
              <w:rPr>
                <w:rFonts w:hint="default" w:ascii="仿宋_GB2312" w:hAnsi="仿宋_GB2312" w:eastAsia="仿宋_GB2312" w:cs="仿宋_GB2312"/>
                <w:b w:val="0"/>
                <w:bCs w:val="0"/>
                <w:sz w:val="24"/>
                <w:szCs w:val="24"/>
                <w:highlight w:val="none"/>
                <w:lang w:val="en-US" w:eastAsia="zh-CN"/>
              </w:rPr>
              <w:t>环氧沥青漆或更优的耐碱防腐涂层，厚度≥150μm</w:t>
            </w:r>
          </w:p>
        </w:tc>
      </w:tr>
      <w:tr>
        <w:tblPrEx>
          <w:tblCellMar>
            <w:top w:w="0" w:type="dxa"/>
            <w:left w:w="108" w:type="dxa"/>
            <w:bottom w:w="0" w:type="dxa"/>
            <w:right w:w="108" w:type="dxa"/>
          </w:tblCellMar>
        </w:tblPrEx>
        <w:trPr>
          <w:trHeight w:val="109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花板</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b w:val="0"/>
                <w:bCs w:val="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材质Q235B碳钢，厚度≥6mm</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表面喷涂</w:t>
            </w:r>
            <w:r>
              <w:rPr>
                <w:rFonts w:hint="default" w:ascii="仿宋_GB2312" w:hAnsi="仿宋_GB2312" w:eastAsia="仿宋_GB2312" w:cs="仿宋_GB2312"/>
                <w:b w:val="0"/>
                <w:bCs w:val="0"/>
                <w:sz w:val="24"/>
                <w:szCs w:val="24"/>
                <w:highlight w:val="none"/>
                <w:lang w:val="en-US" w:eastAsia="zh-CN"/>
              </w:rPr>
              <w:t>环氧沥青漆或更优的耐碱防腐涂层，厚度≥150μm</w:t>
            </w:r>
          </w:p>
        </w:tc>
      </w:tr>
      <w:tr>
        <w:tblPrEx>
          <w:tblCellMar>
            <w:top w:w="0" w:type="dxa"/>
            <w:left w:w="108" w:type="dxa"/>
            <w:bottom w:w="0" w:type="dxa"/>
            <w:right w:w="108" w:type="dxa"/>
          </w:tblCellMar>
        </w:tblPrEx>
        <w:trPr>
          <w:trHeight w:val="94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笼骨（骨架）</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优质20#碳钢钢丝</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有机硅喷涂（厚度≥80μm） 或更优防腐处理</w:t>
            </w:r>
          </w:p>
        </w:tc>
      </w:tr>
      <w:tr>
        <w:tblPrEx>
          <w:tblCellMar>
            <w:top w:w="0" w:type="dxa"/>
            <w:left w:w="108" w:type="dxa"/>
            <w:bottom w:w="0" w:type="dxa"/>
            <w:right w:w="108" w:type="dxa"/>
          </w:tblCellMar>
        </w:tblPrEx>
        <w:trPr>
          <w:trHeight w:val="634"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脉冲阀</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脉冲阀4件，</w:t>
            </w:r>
            <w:r>
              <w:rPr>
                <w:rFonts w:hint="default" w:ascii="仿宋_GB2312" w:hAnsi="仿宋_GB2312" w:eastAsia="仿宋_GB2312" w:cs="仿宋_GB2312"/>
                <w:b w:val="0"/>
                <w:bCs w:val="0"/>
                <w:sz w:val="24"/>
                <w:szCs w:val="24"/>
                <w:highlight w:val="none"/>
                <w:lang w:val="en-US" w:eastAsia="zh-CN"/>
              </w:rPr>
              <w:t>阀体材质为铝合金或更优</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品牌需为ASCO、TURBO、MECAIR或同等知名品牌</w:t>
            </w:r>
          </w:p>
        </w:tc>
      </w:tr>
      <w:tr>
        <w:tblPrEx>
          <w:tblCellMar>
            <w:top w:w="0" w:type="dxa"/>
            <w:left w:w="108" w:type="dxa"/>
            <w:bottom w:w="0" w:type="dxa"/>
            <w:right w:w="108" w:type="dxa"/>
          </w:tblCellMar>
        </w:tblPrEx>
        <w:trPr>
          <w:trHeight w:val="61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气包</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pPr>
              <w:keepNext w:val="0"/>
              <w:keepLines w:val="0"/>
              <w:pageBreakBefore w:val="0"/>
              <w:widowControl w:val="0"/>
              <w:kinsoku/>
              <w:wordWrap/>
              <w:overflowPunct/>
              <w:topLinePunct w:val="0"/>
              <w:autoSpaceDE/>
              <w:autoSpaceDN/>
              <w:bidi w:val="0"/>
              <w:adjustRightInd/>
              <w:snapToGrid/>
              <w:ind w:firstLine="720" w:firstLineChars="300"/>
              <w:jc w:val="both"/>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Q345R</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耐压≥</w:t>
            </w:r>
            <w:r>
              <w:rPr>
                <w:rFonts w:hint="eastAsia" w:ascii="仿宋_GB2312" w:hAnsi="仿宋_GB2312" w:eastAsia="仿宋_GB2312" w:cs="仿宋_GB2312"/>
                <w:b w:val="0"/>
                <w:bCs w:val="0"/>
                <w:sz w:val="24"/>
                <w:szCs w:val="24"/>
                <w:highlight w:val="none"/>
                <w:lang w:val="en-US" w:eastAsia="zh-CN"/>
              </w:rPr>
              <w:t>1</w:t>
            </w:r>
            <w:r>
              <w:rPr>
                <w:rFonts w:hint="eastAsia" w:ascii="仿宋_GB2312" w:hAnsi="仿宋_GB2312" w:eastAsia="仿宋_GB2312" w:cs="仿宋_GB2312"/>
                <w:b w:val="0"/>
                <w:bCs w:val="0"/>
                <w:sz w:val="24"/>
                <w:szCs w:val="24"/>
                <w:highlight w:val="none"/>
              </w:rPr>
              <w:t>MPa。必须配备</w:t>
            </w:r>
            <w:r>
              <w:rPr>
                <w:rFonts w:hint="eastAsia" w:ascii="仿宋_GB2312" w:hAnsi="仿宋_GB2312" w:eastAsia="仿宋_GB2312" w:cs="仿宋_GB2312"/>
                <w:b w:val="0"/>
                <w:bCs w:val="0"/>
                <w:sz w:val="24"/>
                <w:szCs w:val="24"/>
                <w:highlight w:val="none"/>
                <w:lang w:eastAsia="zh-CN"/>
              </w:rPr>
              <w:t>校验合格的</w:t>
            </w:r>
            <w:r>
              <w:rPr>
                <w:rFonts w:hint="eastAsia" w:ascii="仿宋_GB2312" w:hAnsi="仿宋_GB2312" w:eastAsia="仿宋_GB2312" w:cs="仿宋_GB2312"/>
                <w:b w:val="0"/>
                <w:bCs w:val="0"/>
                <w:sz w:val="24"/>
                <w:szCs w:val="24"/>
                <w:highlight w:val="none"/>
              </w:rPr>
              <w:t>安全阀、压力表</w:t>
            </w:r>
          </w:p>
        </w:tc>
      </w:tr>
      <w:tr>
        <w:tblPrEx>
          <w:tblCellMar>
            <w:top w:w="0" w:type="dxa"/>
            <w:left w:w="108" w:type="dxa"/>
            <w:bottom w:w="0" w:type="dxa"/>
            <w:right w:w="108" w:type="dxa"/>
          </w:tblCellMar>
        </w:tblPrEx>
        <w:trPr>
          <w:trHeight w:val="64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喷吹管</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无缝钢管</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喷头采用与滤袋匹配的文氏管</w:t>
            </w:r>
          </w:p>
        </w:tc>
      </w:tr>
      <w:tr>
        <w:tblPrEx>
          <w:tblCellMar>
            <w:top w:w="0" w:type="dxa"/>
            <w:left w:w="108" w:type="dxa"/>
            <w:bottom w:w="0" w:type="dxa"/>
            <w:right w:w="108" w:type="dxa"/>
          </w:tblCellMar>
        </w:tblPrEx>
        <w:trPr>
          <w:trHeight w:val="58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控制柜</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r>
              <w:rPr>
                <w:rFonts w:hint="default" w:ascii="仿宋_GB2312" w:hAnsi="仿宋_GB2312" w:eastAsia="仿宋_GB2312" w:cs="仿宋_GB2312"/>
                <w:b w:val="0"/>
                <w:bCs w:val="0"/>
                <w:sz w:val="24"/>
                <w:szCs w:val="24"/>
                <w:highlight w:val="none"/>
                <w:lang w:val="en-US" w:eastAsia="zh-CN"/>
              </w:rPr>
              <w:t>IP55，户外型，带散热风扇和防凝露装置。</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_GB2312" w:eastAsia="仿宋_GB2312" w:cs="仿宋_GB2312"/>
                <w:b w:val="0"/>
                <w:bCs w:val="0"/>
                <w:sz w:val="24"/>
                <w:szCs w:val="24"/>
                <w:highlight w:val="none"/>
                <w:lang w:val="en-US" w:eastAsia="zh-CN"/>
              </w:rPr>
            </w:pPr>
          </w:p>
        </w:tc>
      </w:tr>
      <w:tr>
        <w:tblPrEx>
          <w:tblCellMar>
            <w:top w:w="0" w:type="dxa"/>
            <w:left w:w="108" w:type="dxa"/>
            <w:bottom w:w="0" w:type="dxa"/>
            <w:right w:w="108" w:type="dxa"/>
          </w:tblCellMar>
        </w:tblPrEx>
        <w:trPr>
          <w:trHeight w:val="709" w:hRule="exact"/>
          <w:jc w:val="center"/>
        </w:trPr>
        <w:tc>
          <w:tcPr>
            <w:tcW w:w="181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sz w:val="24"/>
                <w:szCs w:val="24"/>
                <w:highlight w:val="none"/>
                <w:lang w:eastAsia="zh-CN"/>
              </w:rPr>
              <w:t>滤袋</w:t>
            </w:r>
          </w:p>
        </w:tc>
        <w:tc>
          <w:tcPr>
            <w:tcW w:w="334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防静电涤纶针刺毡覆PTFE膜</w:t>
            </w:r>
          </w:p>
        </w:tc>
        <w:tc>
          <w:tcPr>
            <w:tcW w:w="314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仿宋_GB2312" w:hAnsi="仿宋_GB2312" w:eastAsia="仿宋_GB2312" w:cs="仿宋_GB2312"/>
                <w:b w:val="0"/>
                <w:bCs w:val="0"/>
                <w:sz w:val="24"/>
                <w:szCs w:val="24"/>
                <w:highlight w:val="none"/>
                <w:lang w:val="en-US" w:eastAsia="zh-CN"/>
              </w:rPr>
            </w:pPr>
            <w:r>
              <w:rPr>
                <w:rFonts w:hint="eastAsia" w:ascii="仿宋_GB2312" w:hAnsi="仿宋_GB2312" w:eastAsia="仿宋_GB2312" w:cs="仿宋_GB2312"/>
                <w:b w:val="0"/>
                <w:bCs w:val="0"/>
                <w:sz w:val="24"/>
                <w:szCs w:val="24"/>
                <w:highlight w:val="none"/>
                <w:lang w:val="en-US" w:eastAsia="zh-CN"/>
              </w:rPr>
              <w:t>24袋，过滤面积不小于18㎡</w:t>
            </w:r>
          </w:p>
        </w:tc>
      </w:tr>
    </w:tbl>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4.设备安装尺寸要求</w:t>
      </w:r>
    </w:p>
    <w:p>
      <w:pPr>
        <w:ind w:firstLine="640" w:firstLineChars="200"/>
        <w:rPr>
          <w:rFonts w:hint="eastAsia"/>
          <w:sz w:val="32"/>
          <w:szCs w:val="32"/>
          <w:highlight w:val="none"/>
          <w:lang w:val="en-US" w:eastAsia="zh-CN"/>
        </w:rPr>
      </w:pPr>
      <w:r>
        <w:rPr>
          <w:rFonts w:hint="eastAsia" w:ascii="仿宋_GB2312" w:hAnsi="仿宋_GB2312" w:eastAsia="仿宋_GB2312" w:cs="仿宋_GB2312"/>
          <w:sz w:val="32"/>
          <w:szCs w:val="32"/>
          <w:highlight w:val="none"/>
          <w:lang w:val="en-US" w:eastAsia="zh-CN"/>
        </w:rPr>
        <w:t>设备供货单位负责与现场匹配的接口技术问题，本次采购的脉冲布袋除尘器需满足现场的安装方向及进、出风口、除尘口与现场接口规格及位置匹配。</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5.脉冲式除尘器技术要求</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5.1乙方提供技术先进，结构合理、安全、成熟可靠并符合国家有关标准的产品。</w:t>
      </w:r>
    </w:p>
    <w:p>
      <w:pPr>
        <w:spacing w:before="120" w:after="120" w:line="288" w:lineRule="auto"/>
        <w:ind w:left="0" w:firstLine="640" w:firstLineChars="200"/>
        <w:jc w:val="left"/>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5.2现场无起重设施，设备需采用模块化拆分设计，箱体面板、顶板需拼接螺栓紧固安装，箱体外部设置合理的加强筋防止箱体变形；箱体侧面设有检修门，尺寸足够便于更换滤袋，所有密封采用硅橡胶密封条，压紧装置应密封可靠。</w:t>
      </w:r>
    </w:p>
    <w:p>
      <w:pPr>
        <w:spacing w:before="120" w:after="120" w:line="288" w:lineRule="auto"/>
        <w:ind w:left="0" w:firstLine="640" w:firstLineChars="200"/>
        <w:jc w:val="left"/>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5.3花板材质Q235B，厚度≥6mm，确保平整不变形，采用数控激光或等离子切割，袋孔均匀精确，确保滤袋安装后严密无泄漏。</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5.4滤袋材质必须适用于干燥石灰粉尘，选用防静电涤纶针刺毡覆PTFE膜，防止石灰细粉嵌入滤料内部，降低阻力，提高清灰效率。克重：≥550 g/m²，缝制采用三针六线工艺，袋口配有弹性硅橡胶密封圈，确保与花板密封。在正常操作和维护条件下，滤袋使用寿命应不低于18个月。</w:t>
      </w:r>
    </w:p>
    <w:p>
      <w:pPr>
        <w:ind w:firstLine="640" w:firstLineChars="2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5.5笼骨（骨架）材质使用优质20#碳钢钢丝，表面光滑无毛刺并进行有机硅喷涂（厚度≥80μm） 或更优防腐处理，严禁使用普通镀锌（易被碱腐蚀）；安装垂直度公差、直线度公差需符合标准。</w:t>
      </w:r>
    </w:p>
    <w:p>
      <w:pPr>
        <w:spacing w:before="120" w:after="120" w:line="288" w:lineRule="auto"/>
        <w:ind w:left="0"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5.6喷吹系统脉冲阀品牌参照或相当于ASCO、TURBO、MECAIR或同等知名品牌。阀体材质为铝合金或更优，膜片寿命≥100万次，4个脉冲阀需合理分区。</w:t>
      </w:r>
    </w:p>
    <w:p>
      <w:pPr>
        <w:spacing w:before="120" w:after="120" w:line="288" w:lineRule="auto"/>
        <w:ind w:left="0"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5.7气包容积需满足4阀同时喷吹的耗气量要求，提供稳定的喷吹压力，耐压≥1MPa，必须配备安全阀、压力表（0-1.0MPa）和底部排污阀，气包经水压试验合格（试验压力1.1MPa，保压30min无渗漏）。</w:t>
      </w:r>
    </w:p>
    <w:p>
      <w:pPr>
        <w:spacing w:before="120" w:after="120" w:line="288" w:lineRule="auto"/>
        <w:ind w:left="0" w:firstLine="640" w:firstLineChars="200"/>
        <w:jc w:val="lef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5.8喷吹管材质为无缝钢管，与花板平行安装，喷嘴采用数控定位，确保对准滤袋中心，带文氏管，保证喷吹气流导向，表面光滑无毛刺。</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5.9乙方应提供设备产品设计、制造、质量检验、交货及验收应遵照的规范和标准。</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5.10乙方应随设备供货提供该设备的装配资料、材质证明、装箱单、实验报告、产品说明书、产品合格证随主设备一同发运现场提供给甲方。</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5.11乙方提供的脉冲布袋除尘器功能完整，技术先进成熟，所供设备均按最新标准设计和制造，在系统正常合理工况下能满足安全和持续运行的要求。</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5.12脉冲布袋除尘器附带原装脉冲阀一件，脉冲阀隔膜4件，二次更换用滤袋24条。</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 电气与自动控制系统</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6.1 控制柜防护等级：IP55，户外型，带散热风扇和防凝露装置。</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6.2元件品牌：参照或相当于PLC采用西门子/三菱/欧姆龙；低压电器参照或相当于施耐德/ABB/正泰同等及以上品牌。</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6.3显示与操作：柜门设文本显示器或触摸屏，显示设备状态、压差、设置参数；设有手动/自动转换开关及急停按钮。</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6.4自动除尘功能：定压差控制（首选）： 根据预设的压差上下限（如800-1200Pa）自动启停清灰程序。定时控制： 可设置固定周期进行清灰。以上两种模式可切换。</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6.5参数可调： 脉冲宽度（0.05-0.2s）、脉冲间隔（5-60s）、周期间隔等参数可在人机界面灵活设置。</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6.6 联锁功能： 根据料仓料位信号优化清灰程序。</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6.7停机清灰： 设备停机时，自动执行一次完整的清灰循环，防止滤袋糊袋。</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6.8报警功能： 具备压差超高、压差过低（滤袋破损可能）、风机过载、卸灰阀故障等声光报警。</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6.9风机采用离心式风机，风量、风压需满足设备参数表中要求，叶轮需做耐磨平衡处理，风机出口向上时需装设防雨罩且不能影响正常排风。</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6.10电机采用一级能效（功率2.2kW），防护等级IP65，绝缘等级F，B级温升，电源380V/3相/50Hz。品牌为国标知名品牌。</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6.11信号接口：设备应预留RS485通讯接口和以太网接口，支持与上位机控制系统通讯，可实现远程监控和数据上传（如运行状态、故障信息、清灰记录等）。</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6.12安全防护：设备旋转部件应设置防护罩，防护罩牢固可靠，防护间隙不大于10mm；设备接地电阻≤4Ω，确保用电安全。</w:t>
      </w:r>
    </w:p>
    <w:p>
      <w:pPr>
        <w:spacing w:line="360" w:lineRule="auto"/>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6.13环保要求：设备排放浓度应符合《大气污染物综合排放标准》（GB 16297-1996）或采购方所在行业特定排放标准，无组织排放粉尘浓度≤1.0mg/m³；设备运行过程中无二次污染，符合环保要求。</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GB" w:eastAsia="zh-CN"/>
        </w:rPr>
      </w:pPr>
      <w:r>
        <w:rPr>
          <w:rFonts w:hint="eastAsia" w:ascii="仿宋_GB2312" w:hAnsi="仿宋_GB2312" w:eastAsia="仿宋_GB2312" w:cs="仿宋_GB2312"/>
          <w:b/>
          <w:bCs/>
          <w:kern w:val="2"/>
          <w:sz w:val="30"/>
          <w:szCs w:val="30"/>
          <w:lang w:val="en-GB" w:eastAsia="zh-CN"/>
        </w:rPr>
        <w:t>四、验收及技术服务</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1.乙方对整套设备的合理性、完整性负责，包含提供设备与配套电机的连接方式的最终资料。</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2.所有设备均按国家最新标准的规定进行组装。</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3.所有用于设备制造的材料及制作工艺均应符合相关行业标准，完成全部技术参数的设计要求。</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设备到货后由乙方组织甲方相关人员对设备进行开箱验收，随机设备及附件数量种类必须符合本协议中的要求，如存在质量问题，乙方无条件负责免费更换。供货超期或因设备质量问题导致无法安装使用，按照合同违约条款执行。</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5.乙方供货所有设备若存在国家、行业标准和本规格书要求不符合项目，甲方有权拒绝设备的调试和功能考核，对设备直接进行退货，并按照商务合同的有关条款对乙方进行索赔或罚款。</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6.如运行过程中出现问题，经第三方检定为不符合相关技术要求，按照合同违约条款执行。</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7.乙方电动机出厂必须具有出厂检验报告、合格证、产品参数、使用说明书等相关资料，并随货交付甲方；所提供的技术资料须加盖图章，要求资料内容全面，数字准确。</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8.脉冲布袋除尘器的运输符合有关规定，在运输中出现损坏甲方不予承担。</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9.符合工业和信息化部关于高耗能落后机电设备（产品）淘汰目录（第一批、第二批、第三批、第四批）要求，采用新型节能、安全可靠的工艺和技术。</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10.电动机质保期至少为2年，若在质保期内出现质量问题，乙方在接到甲方的通知后，12小时内给予答复，如果有必要，48小时内赶到现场，若发现有重大质量问题，甲方全部退货，乙方承担全部赔偿责任。</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11.脉冲布袋除尘器质保期至少为2年，从设备功能考核合格之日算起，质保期内的产品质量问题，乙方免费维修、更换，由于乙方供货设备的质量问题而造成的故障或设备停运，乙方应免费负责7个自然日内更换有缺陷或损坏的部件，设备的质保期将延长12个月。</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五、提供资料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1.乙方在中标后15日内将准确的电子版和纸质版备件明细表、</w:t>
      </w:r>
      <w:r>
        <w:rPr>
          <w:rFonts w:hint="eastAsia" w:ascii="仿宋_GB2312" w:hAnsi="仿宋_GB2312" w:eastAsia="仿宋_GB2312" w:cs="仿宋_GB2312"/>
          <w:sz w:val="32"/>
          <w:szCs w:val="32"/>
          <w:highlight w:val="none"/>
          <w:lang w:val="en-US" w:eastAsia="zh-CN"/>
        </w:rPr>
        <w:t>外购件明细表</w:t>
      </w:r>
      <w:r>
        <w:rPr>
          <w:rFonts w:hint="eastAsia" w:ascii="仿宋_GB2312" w:hAnsi="仿宋_GB2312" w:eastAsia="仿宋_GB2312" w:cs="仿宋_GB2312"/>
          <w:b w:val="0"/>
          <w:bCs w:val="0"/>
          <w:kern w:val="2"/>
          <w:sz w:val="32"/>
          <w:szCs w:val="32"/>
          <w:lang w:val="en-US" w:eastAsia="zh-CN"/>
        </w:rPr>
        <w:t>提供给甲方。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2.设备到货后同时提供出厂最终资料（试验报告</w:t>
      </w:r>
      <w:r>
        <w:rPr>
          <w:rFonts w:hint="eastAsia" w:ascii="仿宋_GB2312" w:hAnsi="仿宋_GB2312" w:eastAsia="仿宋_GB2312" w:cs="仿宋_GB2312"/>
          <w:sz w:val="32"/>
          <w:szCs w:val="32"/>
          <w:highlight w:val="none"/>
          <w:lang w:val="en-US" w:eastAsia="zh-CN"/>
        </w:rPr>
        <w:t>、材质证明、产品合格证</w:t>
      </w:r>
      <w:r>
        <w:rPr>
          <w:rFonts w:hint="eastAsia" w:ascii="仿宋_GB2312" w:hAnsi="仿宋_GB2312" w:eastAsia="仿宋_GB2312" w:cs="仿宋_GB2312"/>
          <w:b w:val="0"/>
          <w:bCs w:val="0"/>
          <w:kern w:val="2"/>
          <w:sz w:val="32"/>
          <w:szCs w:val="32"/>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3.邮寄地址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甲方邮寄信息：甘肃省嘉峪关市酒钢集团动力厂</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邮政编码：735100</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收件人：董世平   联系电话：17793732678</w:t>
      </w:r>
    </w:p>
    <w:p>
      <w:p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电子邮箱：dsp3037@jungang.com</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六、 交货时间及地点</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1.交货时间：</w:t>
      </w:r>
      <w:r>
        <w:rPr>
          <w:rFonts w:hint="eastAsia" w:ascii="仿宋_GB2312" w:hAnsi="仿宋_GB2312" w:eastAsia="仿宋_GB2312" w:cs="仿宋_GB2312"/>
          <w:b w:val="0"/>
          <w:bCs w:val="0"/>
          <w:kern w:val="2"/>
          <w:sz w:val="32"/>
          <w:szCs w:val="32"/>
          <w:highlight w:val="none"/>
          <w:lang w:val="en-US" w:eastAsia="zh-CN"/>
        </w:rPr>
        <w:t>以合同规定日期为准</w:t>
      </w:r>
    </w:p>
    <w:p>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2.交货地点：甘肃酒钢集团动力厂</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kern w:val="2"/>
          <w:sz w:val="30"/>
          <w:szCs w:val="30"/>
          <w:highlight w:val="none"/>
          <w:lang w:val="en-US" w:eastAsia="zh-CN"/>
        </w:rPr>
      </w:pPr>
      <w:r>
        <w:rPr>
          <w:rFonts w:hint="eastAsia" w:ascii="仿宋_GB2312" w:hAnsi="仿宋_GB2312" w:eastAsia="仿宋_GB2312" w:cs="仿宋_GB2312"/>
          <w:b/>
          <w:bCs/>
          <w:kern w:val="2"/>
          <w:sz w:val="30"/>
          <w:szCs w:val="30"/>
          <w:highlight w:val="none"/>
          <w:lang w:val="en-US" w:eastAsia="zh-CN"/>
        </w:rPr>
        <w:t>七、其他</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1.本协议一式四份，甲方三份，乙方一份。</w:t>
      </w:r>
    </w:p>
    <w:p>
      <w:pPr>
        <w:pStyle w:val="4"/>
        <w:ind w:left="0" w:leftChars="0"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2.本技术协议作为使用协议附件，具有与使用协议同等的法律效力，经甲、乙双方签字盖章后生效。</w:t>
      </w:r>
    </w:p>
    <w:p>
      <w:pPr>
        <w:pStyle w:val="4"/>
        <w:ind w:left="0" w:leftChars="0" w:firstLine="640" w:firstLineChars="200"/>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val="0"/>
          <w:kern w:val="2"/>
          <w:sz w:val="32"/>
          <w:szCs w:val="32"/>
          <w:lang w:val="en-US" w:eastAsia="zh-CN"/>
        </w:rPr>
        <w:t>3.</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若</w:t>
      </w:r>
      <w:r>
        <w:rPr>
          <w:rFonts w:hint="eastAsia" w:ascii="仿宋_GB2312" w:hAnsi="仿宋_GB2312" w:eastAsia="仿宋_GB2312" w:cs="仿宋_GB2312"/>
          <w:b w:val="0"/>
          <w:bCs w:val="0"/>
          <w:kern w:val="2"/>
          <w:sz w:val="32"/>
          <w:szCs w:val="32"/>
          <w:lang w:val="en-US" w:eastAsia="zh-CN"/>
        </w:rPr>
        <w:t>乙方</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公司不能中标，则本技术协议自动失效，双方互不承担任何责任（此内容限于标前技术协议签订中使用）。</w:t>
      </w:r>
    </w:p>
    <w:p>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color w:val="auto"/>
          <w:kern w:val="0"/>
          <w:sz w:val="32"/>
          <w:szCs w:val="32"/>
          <w:lang w:val="en-US" w:eastAsia="zh-CN" w:bidi="ar"/>
        </w:rPr>
        <w:t>4.</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 xml:space="preserve">本协议内容经由甲乙双方于     年  月  日           时-   时通过               方式商定。 </w:t>
      </w:r>
    </w:p>
    <w:p>
      <w:pPr>
        <w:keepNext w:val="0"/>
        <w:keepLines w:val="0"/>
        <w:widowControl/>
        <w:suppressLineNumbers w:val="0"/>
        <w:spacing w:line="360" w:lineRule="auto"/>
        <w:ind w:firstLine="640" w:firstLineChars="200"/>
        <w:jc w:val="left"/>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color w:val="auto"/>
          <w:kern w:val="0"/>
          <w:sz w:val="32"/>
          <w:szCs w:val="32"/>
          <w:lang w:val="en-US" w:eastAsia="zh-CN" w:bidi="ar"/>
        </w:rPr>
        <w:t>5.</w:t>
      </w:r>
      <w:r>
        <w:rPr>
          <w:rFonts w:hint="eastAsia" w:ascii="仿宋_GB2312" w:hAnsi="仿宋_GB2312" w:eastAsia="仿宋_GB2312" w:cs="仿宋_GB2312"/>
          <w:b w:val="0"/>
          <w:bCs w:val="0"/>
          <w:color w:val="000000" w:themeColor="text1"/>
          <w:kern w:val="2"/>
          <w:sz w:val="32"/>
          <w:szCs w:val="32"/>
          <w:lang w:val="en-US" w:eastAsia="zh-CN"/>
          <w14:textFill>
            <w14:solidFill>
              <w14:schemeClr w14:val="tx1"/>
            </w14:solidFill>
          </w14:textFill>
        </w:rPr>
        <w:t>甲乙双方应当就签订本协议的相关事宜保密，不得将签订主体、时间、内容等信息透露给其他第三人。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甲方：（行政公章）</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乙方：（合同专用章）</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甲方代表：</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乙方代表：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ind w:firstLine="1920" w:firstLineChars="600"/>
        <w:textAlignment w:val="auto"/>
        <w:rPr>
          <w:rFonts w:hint="eastAsia" w:ascii="仿宋_GB2312" w:hAnsi="仿宋_GB2312" w:eastAsia="仿宋_GB2312" w:cs="仿宋_GB2312"/>
          <w:b/>
          <w:bCs/>
          <w:color w:val="FF0000"/>
          <w:kern w:val="2"/>
          <w:sz w:val="32"/>
          <w:szCs w:val="32"/>
          <w:lang w:val="en-US" w:eastAsia="zh-CN"/>
        </w:rPr>
      </w:pP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日</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2ZTdkZjJhYTRkYmY4M2M1MWNlMzhkMGMwN2Q2YTYifQ=="/>
  </w:docVars>
  <w:rsids>
    <w:rsidRoot w:val="5FD107D5"/>
    <w:rsid w:val="00400F20"/>
    <w:rsid w:val="087D0B45"/>
    <w:rsid w:val="0CD12600"/>
    <w:rsid w:val="0DF5586B"/>
    <w:rsid w:val="0E482CFB"/>
    <w:rsid w:val="10B8439C"/>
    <w:rsid w:val="11E37064"/>
    <w:rsid w:val="11F42F43"/>
    <w:rsid w:val="139D62C3"/>
    <w:rsid w:val="14A37B76"/>
    <w:rsid w:val="1B6D3B00"/>
    <w:rsid w:val="1CA61C7D"/>
    <w:rsid w:val="1DEE2CBD"/>
    <w:rsid w:val="2016342C"/>
    <w:rsid w:val="20C02311"/>
    <w:rsid w:val="24DA7470"/>
    <w:rsid w:val="27541A0C"/>
    <w:rsid w:val="2BD355F5"/>
    <w:rsid w:val="2CAC404E"/>
    <w:rsid w:val="2CBD0D9A"/>
    <w:rsid w:val="2D0974C5"/>
    <w:rsid w:val="2D7B23E8"/>
    <w:rsid w:val="30C91B6F"/>
    <w:rsid w:val="324F6FC9"/>
    <w:rsid w:val="338A57B6"/>
    <w:rsid w:val="34AF0955"/>
    <w:rsid w:val="35415A03"/>
    <w:rsid w:val="39B06F76"/>
    <w:rsid w:val="39FE4185"/>
    <w:rsid w:val="3C97266F"/>
    <w:rsid w:val="3D8177D5"/>
    <w:rsid w:val="3F0B2310"/>
    <w:rsid w:val="40031A1B"/>
    <w:rsid w:val="40710CC1"/>
    <w:rsid w:val="41E560DF"/>
    <w:rsid w:val="426B55CF"/>
    <w:rsid w:val="427A56FA"/>
    <w:rsid w:val="42C31904"/>
    <w:rsid w:val="44792AB5"/>
    <w:rsid w:val="46B207D1"/>
    <w:rsid w:val="47AA14A8"/>
    <w:rsid w:val="48EC7B1D"/>
    <w:rsid w:val="4C4874E2"/>
    <w:rsid w:val="4C9F5FCC"/>
    <w:rsid w:val="4EFC120A"/>
    <w:rsid w:val="51F63B06"/>
    <w:rsid w:val="54155808"/>
    <w:rsid w:val="5AE12EE8"/>
    <w:rsid w:val="5FD107D5"/>
    <w:rsid w:val="63FA6EBC"/>
    <w:rsid w:val="64B44F54"/>
    <w:rsid w:val="6AAD1843"/>
    <w:rsid w:val="6AE368FC"/>
    <w:rsid w:val="6B2C02A3"/>
    <w:rsid w:val="6E181B4E"/>
    <w:rsid w:val="708410A0"/>
    <w:rsid w:val="708C5AA8"/>
    <w:rsid w:val="71ED2114"/>
    <w:rsid w:val="732B790A"/>
    <w:rsid w:val="73C42049"/>
    <w:rsid w:val="742865E4"/>
    <w:rsid w:val="75725B14"/>
    <w:rsid w:val="75FE2CF3"/>
    <w:rsid w:val="7D2C7C8E"/>
    <w:rsid w:val="7E5F63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wordWrap w:val="0"/>
      <w:autoSpaceDE/>
      <w:autoSpaceDN/>
      <w:spacing w:before="0" w:after="0" w:line="240" w:lineRule="auto"/>
      <w:ind w:left="0" w:firstLine="0"/>
      <w:jc w:val="both"/>
    </w:pPr>
    <w:rPr>
      <w:rFonts w:ascii="宋体" w:hAnsi="Times New Roman" w:eastAsia="Calibri" w:cs="Times New Roman"/>
      <w:sz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hAnsi="Times New Roman"/>
      <w:sz w:val="24"/>
      <w:szCs w:val="24"/>
    </w:rPr>
  </w:style>
  <w:style w:type="paragraph" w:styleId="3">
    <w:name w:val="Plain Text"/>
    <w:basedOn w:val="1"/>
    <w:qFormat/>
    <w:uiPriority w:val="0"/>
    <w:pPr>
      <w:widowControl w:val="0"/>
      <w:jc w:val="both"/>
    </w:pPr>
    <w:rPr>
      <w:rFonts w:ascii="宋体" w:hAnsi="Courier New"/>
      <w:kern w:val="2"/>
      <w:sz w:val="21"/>
    </w:rPr>
  </w:style>
  <w:style w:type="paragraph" w:styleId="4">
    <w:name w:val="Body Text First Indent 2"/>
    <w:basedOn w:val="2"/>
    <w:qFormat/>
    <w:uiPriority w:val="0"/>
    <w:pPr>
      <w:spacing w:after="120" w:line="560" w:lineRule="exact"/>
      <w:ind w:left="420" w:leftChars="200" w:firstLine="420"/>
    </w:pPr>
    <w:rPr>
      <w:rFonts w:hAnsi="宋体"/>
      <w:sz w:val="28"/>
      <w:szCs w:val="22"/>
    </w:rPr>
  </w:style>
  <w:style w:type="paragraph" w:customStyle="1" w:styleId="7">
    <w:name w:val="样式 样式 行距: 1.5 倍行距 + 两端对齐 Char"/>
    <w:basedOn w:val="1"/>
    <w:qFormat/>
    <w:uiPriority w:val="99"/>
    <w:pPr>
      <w:tabs>
        <w:tab w:val="left" w:pos="720"/>
      </w:tabs>
      <w:adjustRightInd w:val="0"/>
      <w:snapToGrid w:val="0"/>
      <w:ind w:firstLine="480" w:firstLineChars="200"/>
    </w:pPr>
    <w:rPr>
      <w:rFonts w:ascii="宋体" w:hAnsi="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ontractReview xmlns="http://schemas.wps.cn/vas-ai-hub/contract-review">
  <reviewItems>
    <reviewItem>
      <errorID>fcfd089f-1ff6-4701-a16d-8265ba2e2e58</errorID>
      <errorWord>量</errorWord>
      <group>L1_Word</group>
      <groupName>字词问题</groupName>
      <ability>L2_Typo</ability>
      <abilityName>字词错误</abilityName>
      <candidateList>
        <item>量和</item>
      </candidateList>
      <explain/>
      <paraID>3253B96B</paraID>
      <start>36</start>
      <end>37</end>
      <status>ignored</status>
      <modifiedWord/>
      <trackRevisions>false</trackRevisions>
    </reviewItem>
    <reviewItem>
      <errorID>3ee0711c-2e29-43ae-86ad-af4a5d3f758c</errorID>
      <errorWord>罚款或索赔</errorWord>
      <group>L1_Grammar</group>
      <groupName>语法问题</groupName>
      <ability>L2_Order</ability>
      <abilityName>语序不当</abilityName>
      <candidateList>
        <item>索赔或罚款</item>
      </candidateList>
      <explain>句子可能没有遵循时空、逻辑顺序，或者介词、关联词等位置不当。</explain>
      <paraID> 1EE3755</paraID>
      <start>77</start>
      <end>82</end>
      <status>modified</status>
      <modifiedWord>索赔或罚款</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dbdf3-d372-4b24-b200-b81364f2221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4073</Words>
  <Characters>4428</Characters>
  <Lines>0</Lines>
  <Paragraphs>0</Paragraphs>
  <TotalTime>0</TotalTime>
  <ScaleCrop>false</ScaleCrop>
  <LinksUpToDate>false</LinksUpToDate>
  <CharactersWithSpaces>4586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2022-10-19T01:34:00Z</dcterms:created>
  <dc:creator>王成德</dc:creator>
  <cp:lastModifiedBy>心海</cp:lastModifiedBy>
  <dcterms:modified xsi:type="dcterms:W3CDTF">2026-03-17T01:42:01Z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CBB71A862E2F4ACC87EE4D4040BE804D</vt:lpwstr>
  </property>
  <property fmtid="{D5CDD505-2E9C-101B-9397-08002B2CF9AE}" pid="4" name="KSOTemplateDocerSaveRecord">
    <vt:lpwstr>eyJoZGlkIjoiMjk5NDhmYWVkMGJjZDRlZWVhNzYyYjljNWFkMjkzMjciLCJ1c2VySWQiOiIxNTY4NjY3NTc0In0=</vt:lpwstr>
  </property>
</Properties>
</file>